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50" w:rsidRDefault="00BB50E2">
      <w:r>
        <w:t>Die Einführungsp</w:t>
      </w:r>
      <w:r w:rsidR="00D30777">
        <w:t>hase im kommenden Schuljahr 2020/2021</w:t>
      </w:r>
      <w:r>
        <w:t xml:space="preserve"> (Jahrgang 11) hat eine Brückenfunktion, um Schüler und Schülerinnen auf den Unterricht in der Qualifikationsphase vorzubereiten. In allen Fächern wird ein Grundwissen vermittelt, das begründete Wahlen</w:t>
      </w:r>
      <w:r w:rsidR="000A252A">
        <w:t>tscheidungen ermöglicht. Die Lie</w:t>
      </w:r>
      <w:r>
        <w:t>bfrauenschule Cloppenburg möchte allen Schülern und Schülerinnen ein attraktives und vielf</w:t>
      </w:r>
      <w:r w:rsidR="007D2B83">
        <w:t>ältiges Angebot unterbreiten.</w:t>
      </w:r>
    </w:p>
    <w:p w:rsidR="007D2B83" w:rsidRDefault="00BB50E2" w:rsidP="00BB50E2">
      <w:pPr>
        <w:jc w:val="center"/>
        <w:rPr>
          <w:b/>
        </w:rPr>
      </w:pPr>
      <w:r w:rsidRPr="00CF2682">
        <w:rPr>
          <w:b/>
        </w:rPr>
        <w:t xml:space="preserve">Belegungsverpflichtungen und Wochenstunden für die Einführungsphase </w:t>
      </w:r>
    </w:p>
    <w:p w:rsidR="00BB50E2" w:rsidRPr="00CF2682" w:rsidRDefault="00BB50E2" w:rsidP="00BB50E2">
      <w:pPr>
        <w:jc w:val="center"/>
        <w:rPr>
          <w:b/>
        </w:rPr>
      </w:pPr>
      <w:r w:rsidRPr="00CF2682">
        <w:rPr>
          <w:b/>
        </w:rPr>
        <w:t>an der Liebfrauenschule Cloppenburg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6"/>
        <w:gridCol w:w="1570"/>
        <w:gridCol w:w="1554"/>
      </w:tblGrid>
      <w:tr w:rsidR="00BB50E2" w:rsidTr="00626856">
        <w:tc>
          <w:tcPr>
            <w:tcW w:w="5936" w:type="dxa"/>
          </w:tcPr>
          <w:p w:rsidR="00BB50E2" w:rsidRDefault="00BB50E2" w:rsidP="00BB50E2">
            <w:r>
              <w:t>Fächer</w:t>
            </w:r>
          </w:p>
        </w:tc>
        <w:tc>
          <w:tcPr>
            <w:tcW w:w="3124" w:type="dxa"/>
            <w:gridSpan w:val="2"/>
          </w:tcPr>
          <w:p w:rsidR="00BB50E2" w:rsidRDefault="00BB50E2" w:rsidP="00CF2682">
            <w:pPr>
              <w:jc w:val="center"/>
            </w:pPr>
            <w:r>
              <w:t>Wochenstunden</w:t>
            </w:r>
          </w:p>
          <w:p w:rsidR="00CF2682" w:rsidRDefault="00CF2682" w:rsidP="00BB50E2"/>
        </w:tc>
      </w:tr>
      <w:tr w:rsidR="00CF2682" w:rsidTr="00626856">
        <w:tc>
          <w:tcPr>
            <w:tcW w:w="5936" w:type="dxa"/>
          </w:tcPr>
          <w:p w:rsidR="00CF2682" w:rsidRDefault="00CF2682" w:rsidP="00BB50E2"/>
        </w:tc>
        <w:tc>
          <w:tcPr>
            <w:tcW w:w="1570" w:type="dxa"/>
          </w:tcPr>
          <w:p w:rsidR="00CF2682" w:rsidRDefault="00CF2682" w:rsidP="00CF268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Hj</w:t>
            </w:r>
            <w:proofErr w:type="spellEnd"/>
          </w:p>
        </w:tc>
        <w:tc>
          <w:tcPr>
            <w:tcW w:w="1554" w:type="dxa"/>
          </w:tcPr>
          <w:p w:rsidR="00CF2682" w:rsidRDefault="00CF2682" w:rsidP="00CF268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Hj</w:t>
            </w:r>
            <w:proofErr w:type="spellEnd"/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Deutsch</w:t>
            </w:r>
          </w:p>
        </w:tc>
        <w:tc>
          <w:tcPr>
            <w:tcW w:w="1570" w:type="dxa"/>
          </w:tcPr>
          <w:p w:rsidR="00CF2682" w:rsidRDefault="00CF2682" w:rsidP="00BB50E2">
            <w:r>
              <w:t>3</w:t>
            </w:r>
          </w:p>
        </w:tc>
        <w:tc>
          <w:tcPr>
            <w:tcW w:w="1554" w:type="dxa"/>
          </w:tcPr>
          <w:p w:rsidR="00CF2682" w:rsidRDefault="00CF2682" w:rsidP="00BB50E2">
            <w:r>
              <w:t>3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Fortgeführte Fremdsprache</w:t>
            </w:r>
          </w:p>
        </w:tc>
        <w:tc>
          <w:tcPr>
            <w:tcW w:w="1570" w:type="dxa"/>
          </w:tcPr>
          <w:p w:rsidR="00CF2682" w:rsidRDefault="00CF2682" w:rsidP="00BB50E2">
            <w:r>
              <w:t>3</w:t>
            </w:r>
          </w:p>
        </w:tc>
        <w:tc>
          <w:tcPr>
            <w:tcW w:w="1554" w:type="dxa"/>
          </w:tcPr>
          <w:p w:rsidR="00CF2682" w:rsidRDefault="00CF2682" w:rsidP="00BB50E2">
            <w:r>
              <w:t>3</w:t>
            </w:r>
          </w:p>
        </w:tc>
      </w:tr>
      <w:tr w:rsidR="00CF2682" w:rsidTr="00626856">
        <w:tc>
          <w:tcPr>
            <w:tcW w:w="5936" w:type="dxa"/>
          </w:tcPr>
          <w:p w:rsidR="00CF2682" w:rsidRPr="00CF2682" w:rsidRDefault="00CF2682" w:rsidP="00BB50E2">
            <w:pPr>
              <w:rPr>
                <w:color w:val="00B050"/>
              </w:rPr>
            </w:pPr>
            <w:r w:rsidRPr="00CF2682">
              <w:rPr>
                <w:color w:val="00B050"/>
              </w:rPr>
              <w:t>Weitere Fremdsprache</w:t>
            </w:r>
          </w:p>
        </w:tc>
        <w:tc>
          <w:tcPr>
            <w:tcW w:w="1570" w:type="dxa"/>
          </w:tcPr>
          <w:p w:rsidR="00CF2682" w:rsidRPr="00CF2682" w:rsidRDefault="00CF2682" w:rsidP="00BB50E2">
            <w:pPr>
              <w:rPr>
                <w:color w:val="00B050"/>
              </w:rPr>
            </w:pPr>
            <w:r w:rsidRPr="00CF2682">
              <w:rPr>
                <w:color w:val="00B050"/>
              </w:rPr>
              <w:t>3</w:t>
            </w:r>
            <w:r w:rsidR="00EB66A9">
              <w:rPr>
                <w:color w:val="00B050"/>
              </w:rPr>
              <w:t xml:space="preserve"> (4)</w:t>
            </w:r>
          </w:p>
        </w:tc>
        <w:tc>
          <w:tcPr>
            <w:tcW w:w="1554" w:type="dxa"/>
          </w:tcPr>
          <w:p w:rsidR="00CF2682" w:rsidRPr="00CF2682" w:rsidRDefault="00CF2682" w:rsidP="00BB50E2">
            <w:pPr>
              <w:rPr>
                <w:color w:val="00B050"/>
              </w:rPr>
            </w:pPr>
            <w:r w:rsidRPr="00CF2682">
              <w:rPr>
                <w:color w:val="00B050"/>
              </w:rPr>
              <w:t>3</w:t>
            </w:r>
            <w:r w:rsidR="00EB66A9">
              <w:rPr>
                <w:color w:val="00B050"/>
              </w:rPr>
              <w:t xml:space="preserve"> (4)</w:t>
            </w:r>
          </w:p>
        </w:tc>
      </w:tr>
      <w:tr w:rsidR="00CF2682" w:rsidTr="00626856">
        <w:tc>
          <w:tcPr>
            <w:tcW w:w="5936" w:type="dxa"/>
          </w:tcPr>
          <w:p w:rsidR="00CF2682" w:rsidRPr="00CF2682" w:rsidRDefault="00CF2682" w:rsidP="00BB50E2">
            <w:pPr>
              <w:rPr>
                <w:color w:val="FF0000"/>
              </w:rPr>
            </w:pPr>
            <w:r w:rsidRPr="00CF2682">
              <w:rPr>
                <w:color w:val="FF0000"/>
              </w:rPr>
              <w:t>Musik, Kunst, Darstellendes Spiel</w:t>
            </w:r>
          </w:p>
        </w:tc>
        <w:tc>
          <w:tcPr>
            <w:tcW w:w="1570" w:type="dxa"/>
          </w:tcPr>
          <w:p w:rsidR="00CF2682" w:rsidRPr="00CF2682" w:rsidRDefault="00CF2682" w:rsidP="00BB50E2">
            <w:pPr>
              <w:rPr>
                <w:color w:val="FF0000"/>
              </w:rPr>
            </w:pPr>
            <w:r w:rsidRPr="00CF2682">
              <w:rPr>
                <w:color w:val="FF0000"/>
              </w:rPr>
              <w:t>2</w:t>
            </w:r>
          </w:p>
        </w:tc>
        <w:tc>
          <w:tcPr>
            <w:tcW w:w="1554" w:type="dxa"/>
          </w:tcPr>
          <w:p w:rsidR="00CF2682" w:rsidRPr="00CF2682" w:rsidRDefault="00CF2682" w:rsidP="00BB50E2">
            <w:pPr>
              <w:rPr>
                <w:color w:val="FF0000"/>
              </w:rPr>
            </w:pPr>
            <w:r w:rsidRPr="00CF2682">
              <w:rPr>
                <w:color w:val="FF0000"/>
              </w:rP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Geschichte</w:t>
            </w:r>
          </w:p>
        </w:tc>
        <w:tc>
          <w:tcPr>
            <w:tcW w:w="1570" w:type="dxa"/>
          </w:tcPr>
          <w:p w:rsidR="00CF2682" w:rsidRDefault="00CF2682" w:rsidP="00BB50E2">
            <w:r>
              <w:t>2</w:t>
            </w:r>
          </w:p>
        </w:tc>
        <w:tc>
          <w:tcPr>
            <w:tcW w:w="1554" w:type="dxa"/>
          </w:tcPr>
          <w:p w:rsidR="00CF2682" w:rsidRDefault="00CF2682" w:rsidP="00BB50E2">
            <w: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Erdkunde</w:t>
            </w:r>
          </w:p>
        </w:tc>
        <w:tc>
          <w:tcPr>
            <w:tcW w:w="1570" w:type="dxa"/>
          </w:tcPr>
          <w:p w:rsidR="00CF2682" w:rsidRDefault="00835733" w:rsidP="00BB50E2">
            <w:r>
              <w:t>1</w:t>
            </w:r>
          </w:p>
        </w:tc>
        <w:tc>
          <w:tcPr>
            <w:tcW w:w="1554" w:type="dxa"/>
          </w:tcPr>
          <w:p w:rsidR="00CF2682" w:rsidRDefault="00835733" w:rsidP="00BB50E2">
            <w:r>
              <w:t>1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Politik-Wirtschaft</w:t>
            </w:r>
          </w:p>
        </w:tc>
        <w:tc>
          <w:tcPr>
            <w:tcW w:w="1570" w:type="dxa"/>
          </w:tcPr>
          <w:p w:rsidR="00CF2682" w:rsidRDefault="00835733" w:rsidP="00BB50E2">
            <w:r>
              <w:t>3</w:t>
            </w:r>
          </w:p>
        </w:tc>
        <w:tc>
          <w:tcPr>
            <w:tcW w:w="1554" w:type="dxa"/>
          </w:tcPr>
          <w:p w:rsidR="00CF2682" w:rsidRDefault="00835733" w:rsidP="00BB50E2">
            <w:r>
              <w:t>3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Religion</w:t>
            </w:r>
          </w:p>
        </w:tc>
        <w:tc>
          <w:tcPr>
            <w:tcW w:w="1570" w:type="dxa"/>
          </w:tcPr>
          <w:p w:rsidR="00CF2682" w:rsidRDefault="00CF2682" w:rsidP="00BB50E2">
            <w:r>
              <w:t>2</w:t>
            </w:r>
          </w:p>
        </w:tc>
        <w:tc>
          <w:tcPr>
            <w:tcW w:w="1554" w:type="dxa"/>
          </w:tcPr>
          <w:p w:rsidR="00CF2682" w:rsidRDefault="00CF2682" w:rsidP="00BB50E2">
            <w: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Mathematik</w:t>
            </w:r>
          </w:p>
        </w:tc>
        <w:tc>
          <w:tcPr>
            <w:tcW w:w="1570" w:type="dxa"/>
          </w:tcPr>
          <w:p w:rsidR="00CF2682" w:rsidRDefault="00CF2682" w:rsidP="00BB50E2">
            <w:r>
              <w:t>3</w:t>
            </w:r>
          </w:p>
        </w:tc>
        <w:tc>
          <w:tcPr>
            <w:tcW w:w="1554" w:type="dxa"/>
          </w:tcPr>
          <w:p w:rsidR="00CF2682" w:rsidRDefault="00CF2682" w:rsidP="00BB50E2">
            <w:r>
              <w:t>3</w:t>
            </w:r>
          </w:p>
        </w:tc>
      </w:tr>
      <w:tr w:rsidR="00CF2682" w:rsidTr="00626856">
        <w:tc>
          <w:tcPr>
            <w:tcW w:w="5936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Biologie</w:t>
            </w:r>
          </w:p>
        </w:tc>
        <w:tc>
          <w:tcPr>
            <w:tcW w:w="1570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  <w:tc>
          <w:tcPr>
            <w:tcW w:w="1554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Chemie</w:t>
            </w:r>
          </w:p>
        </w:tc>
        <w:tc>
          <w:tcPr>
            <w:tcW w:w="1570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  <w:tc>
          <w:tcPr>
            <w:tcW w:w="1554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Physik</w:t>
            </w:r>
          </w:p>
        </w:tc>
        <w:tc>
          <w:tcPr>
            <w:tcW w:w="1570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  <w:tc>
          <w:tcPr>
            <w:tcW w:w="1554" w:type="dxa"/>
          </w:tcPr>
          <w:p w:rsidR="00CF2682" w:rsidRPr="00CF2682" w:rsidRDefault="00CF2682" w:rsidP="00BB50E2">
            <w:pPr>
              <w:rPr>
                <w:color w:val="0070C0"/>
              </w:rPr>
            </w:pPr>
            <w:r w:rsidRPr="00CF2682">
              <w:rPr>
                <w:color w:val="0070C0"/>
              </w:rP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Sport</w:t>
            </w:r>
          </w:p>
        </w:tc>
        <w:tc>
          <w:tcPr>
            <w:tcW w:w="1570" w:type="dxa"/>
          </w:tcPr>
          <w:p w:rsidR="00CF2682" w:rsidRDefault="00CF2682" w:rsidP="00BB50E2">
            <w:r>
              <w:t>2</w:t>
            </w:r>
          </w:p>
        </w:tc>
        <w:tc>
          <w:tcPr>
            <w:tcW w:w="1554" w:type="dxa"/>
          </w:tcPr>
          <w:p w:rsidR="00CF2682" w:rsidRDefault="00CF2682" w:rsidP="00BB50E2">
            <w: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Pr="00F4217D" w:rsidRDefault="00CF2682" w:rsidP="00BB50E2">
            <w:pPr>
              <w:rPr>
                <w:color w:val="7030A0"/>
              </w:rPr>
            </w:pPr>
            <w:r w:rsidRPr="00F4217D">
              <w:rPr>
                <w:color w:val="7030A0"/>
              </w:rPr>
              <w:t>Sporttheorie</w:t>
            </w:r>
          </w:p>
        </w:tc>
        <w:tc>
          <w:tcPr>
            <w:tcW w:w="1570" w:type="dxa"/>
          </w:tcPr>
          <w:p w:rsidR="00CF2682" w:rsidRPr="00F4217D" w:rsidRDefault="00CF2682" w:rsidP="00BB50E2">
            <w:pPr>
              <w:rPr>
                <w:color w:val="7030A0"/>
              </w:rPr>
            </w:pPr>
          </w:p>
        </w:tc>
        <w:tc>
          <w:tcPr>
            <w:tcW w:w="1554" w:type="dxa"/>
          </w:tcPr>
          <w:p w:rsidR="00CF2682" w:rsidRPr="00F4217D" w:rsidRDefault="00CF2682" w:rsidP="00BB50E2">
            <w:pPr>
              <w:rPr>
                <w:color w:val="7030A0"/>
              </w:rPr>
            </w:pPr>
            <w:r w:rsidRPr="00F4217D">
              <w:rPr>
                <w:color w:val="7030A0"/>
              </w:rPr>
              <w:t>2</w:t>
            </w:r>
          </w:p>
        </w:tc>
      </w:tr>
      <w:tr w:rsidR="00CF2682" w:rsidTr="00626856">
        <w:tc>
          <w:tcPr>
            <w:tcW w:w="5936" w:type="dxa"/>
          </w:tcPr>
          <w:p w:rsidR="00CF2682" w:rsidRDefault="00CF2682" w:rsidP="00BB50E2">
            <w:r>
              <w:t>Studium Fundamentale</w:t>
            </w:r>
          </w:p>
        </w:tc>
        <w:tc>
          <w:tcPr>
            <w:tcW w:w="3124" w:type="dxa"/>
            <w:gridSpan w:val="2"/>
          </w:tcPr>
          <w:p w:rsidR="00CF2682" w:rsidRDefault="00CF2682" w:rsidP="00CF2682">
            <w:pPr>
              <w:jc w:val="center"/>
            </w:pPr>
            <w:r>
              <w:t>Ohne Stundenzuweisung</w:t>
            </w:r>
          </w:p>
          <w:p w:rsidR="007D2B83" w:rsidRDefault="007D2B83" w:rsidP="00CF2682">
            <w:pPr>
              <w:jc w:val="center"/>
            </w:pPr>
            <w:r>
              <w:t>(Projektwoche)</w:t>
            </w:r>
          </w:p>
        </w:tc>
      </w:tr>
    </w:tbl>
    <w:p w:rsidR="00B319FF" w:rsidRPr="006766EB" w:rsidRDefault="00B319FF" w:rsidP="006766EB">
      <w:pPr>
        <w:rPr>
          <w:sz w:val="21"/>
          <w:szCs w:val="21"/>
        </w:rPr>
      </w:pPr>
      <w:r w:rsidRPr="006766EB">
        <w:rPr>
          <w:sz w:val="21"/>
          <w:szCs w:val="21"/>
        </w:rPr>
        <w:t>Besonderheit:</w:t>
      </w:r>
      <w:r w:rsidR="006766EB">
        <w:rPr>
          <w:sz w:val="21"/>
          <w:szCs w:val="21"/>
        </w:rPr>
        <w:t xml:space="preserve"> </w:t>
      </w:r>
      <w:bookmarkStart w:id="0" w:name="_GoBack"/>
      <w:bookmarkEnd w:id="0"/>
      <w:r w:rsidRPr="006766EB">
        <w:rPr>
          <w:sz w:val="21"/>
          <w:szCs w:val="21"/>
        </w:rPr>
        <w:t xml:space="preserve">Die Liebfrauenschule bietet </w:t>
      </w:r>
      <w:proofErr w:type="spellStart"/>
      <w:r w:rsidRPr="006766EB">
        <w:rPr>
          <w:b/>
          <w:sz w:val="21"/>
          <w:szCs w:val="21"/>
        </w:rPr>
        <w:t>Angleichkurse</w:t>
      </w:r>
      <w:proofErr w:type="spellEnd"/>
      <w:r w:rsidRPr="006766EB">
        <w:rPr>
          <w:sz w:val="21"/>
          <w:szCs w:val="21"/>
        </w:rPr>
        <w:t xml:space="preserve"> in den Fächern Mathematik und Englisch an.</w:t>
      </w:r>
    </w:p>
    <w:p w:rsidR="00CF2682" w:rsidRPr="00D30777" w:rsidRDefault="00CF2682" w:rsidP="00835733">
      <w:pPr>
        <w:pStyle w:val="KeinLeerraum"/>
        <w:rPr>
          <w:b/>
          <w:u w:val="single"/>
        </w:rPr>
      </w:pPr>
      <w:r w:rsidRPr="00D30777">
        <w:rPr>
          <w:b/>
          <w:u w:val="single"/>
        </w:rPr>
        <w:t xml:space="preserve">Um ein Prüfungsfach für die Qualifikationsstufe wählen zu können, muss der Schüler, die Schülerin in der Einführungsphase mindestens ein Halbjahr in diesem Fach </w:t>
      </w:r>
      <w:r w:rsidR="00EB66A9" w:rsidRPr="00D30777">
        <w:rPr>
          <w:b/>
          <w:u w:val="single"/>
        </w:rPr>
        <w:t>am</w:t>
      </w:r>
      <w:r w:rsidR="006766EB">
        <w:rPr>
          <w:b/>
          <w:u w:val="single"/>
        </w:rPr>
        <w:t xml:space="preserve"> Unterricht teilgenommen haben.  Um das Fach Darstellendes Spiel in der Qualifikationsphase wählen zu können, muss der Schüler, die Schülerin in der Einführungsphase mindestens ein Halbjahr am Unterricht teilgenommen haben.</w:t>
      </w:r>
    </w:p>
    <w:p w:rsidR="00EB66A9" w:rsidRDefault="00EB66A9" w:rsidP="00835733">
      <w:pPr>
        <w:pStyle w:val="KeinLeerraum"/>
        <w:rPr>
          <w:color w:val="00B050"/>
        </w:rPr>
      </w:pPr>
      <w:r w:rsidRPr="00EB66A9">
        <w:rPr>
          <w:color w:val="00B050"/>
        </w:rPr>
        <w:t>Weitere Fremdsprachen</w:t>
      </w:r>
    </w:p>
    <w:p w:rsidR="00EB66A9" w:rsidRPr="00A32D7F" w:rsidRDefault="00EB66A9" w:rsidP="00835733">
      <w:pPr>
        <w:pStyle w:val="KeinLeerraum"/>
        <w:rPr>
          <w:color w:val="00B050"/>
        </w:rPr>
      </w:pPr>
      <w:r w:rsidRPr="00A32D7F">
        <w:rPr>
          <w:color w:val="00B050"/>
        </w:rPr>
        <w:t>Wer in der Einführungsphase mit einer Fremdsprache neu beginnt, hat in dieser Fremdsprache in der Einführungsphase eine Teilnahmeverpflichtung von 4 Wochenstunden. Diese Fremdsprache ist auch in der Qualifikationsphase mit vier Wochenstunden durchgehend zu belegen.</w:t>
      </w:r>
    </w:p>
    <w:p w:rsidR="00EB66A9" w:rsidRPr="00A32D7F" w:rsidRDefault="00EB66A9" w:rsidP="00835733">
      <w:pPr>
        <w:pStyle w:val="KeinLeerraum"/>
        <w:rPr>
          <w:color w:val="00B050"/>
        </w:rPr>
      </w:pPr>
      <w:r w:rsidRPr="00A32D7F">
        <w:rPr>
          <w:color w:val="00B050"/>
        </w:rPr>
        <w:t>Erfüllung der Fremdsprachenbedingungen:</w:t>
      </w:r>
    </w:p>
    <w:p w:rsidR="00EB66A9" w:rsidRPr="00A32D7F" w:rsidRDefault="00EB66A9" w:rsidP="00835733">
      <w:pPr>
        <w:pStyle w:val="KeinLeerraum"/>
        <w:rPr>
          <w:color w:val="00B050"/>
        </w:rPr>
      </w:pPr>
      <w:r w:rsidRPr="00A32D7F">
        <w:rPr>
          <w:color w:val="00B050"/>
        </w:rPr>
        <w:t>Englisch ab Klasse 5 durchgängig</w:t>
      </w:r>
    </w:p>
    <w:p w:rsidR="00EB66A9" w:rsidRPr="00A32D7F" w:rsidRDefault="00EB66A9" w:rsidP="00835733">
      <w:pPr>
        <w:pStyle w:val="KeinLeerraum"/>
        <w:rPr>
          <w:color w:val="00B050"/>
        </w:rPr>
      </w:pPr>
      <w:r w:rsidRPr="00A32D7F">
        <w:rPr>
          <w:color w:val="00B050"/>
        </w:rPr>
        <w:t>Wahlpflichtfremdsprache ab Klasse 6 durchgängig</w:t>
      </w:r>
    </w:p>
    <w:p w:rsidR="007D2B83" w:rsidRDefault="00EB66A9" w:rsidP="00835733">
      <w:pPr>
        <w:pStyle w:val="KeinLeerraum"/>
        <w:rPr>
          <w:color w:val="00B050"/>
        </w:rPr>
      </w:pPr>
      <w:r w:rsidRPr="00A32D7F">
        <w:rPr>
          <w:color w:val="00B050"/>
        </w:rPr>
        <w:t>Neu beginnende Fremdsprache in der Klasse 11</w:t>
      </w:r>
      <w:r w:rsidR="007D2B83">
        <w:rPr>
          <w:color w:val="00B050"/>
        </w:rPr>
        <w:t xml:space="preserve"> (Latein wird auf jeden Fall stattfinden.)</w:t>
      </w:r>
    </w:p>
    <w:p w:rsidR="00F4217D" w:rsidRPr="007D2B83" w:rsidRDefault="00F4217D" w:rsidP="00835733">
      <w:pPr>
        <w:pStyle w:val="KeinLeerraum"/>
        <w:rPr>
          <w:color w:val="00B050"/>
        </w:rPr>
      </w:pPr>
      <w:r>
        <w:rPr>
          <w:color w:val="FF0000"/>
        </w:rPr>
        <w:t xml:space="preserve">Musik und Kunst sind als Prüfungsfächer möglich. </w:t>
      </w:r>
    </w:p>
    <w:p w:rsidR="00F4217D" w:rsidRPr="007D2B83" w:rsidRDefault="00F4217D" w:rsidP="00835733">
      <w:pPr>
        <w:pStyle w:val="KeinLeerraum"/>
        <w:rPr>
          <w:color w:val="0070C0"/>
        </w:rPr>
      </w:pPr>
      <w:r w:rsidRPr="007D2B83">
        <w:rPr>
          <w:color w:val="0070C0"/>
        </w:rPr>
        <w:t>Naturwissenschaften</w:t>
      </w:r>
    </w:p>
    <w:p w:rsidR="00F4217D" w:rsidRPr="007D2B83" w:rsidRDefault="00F4217D" w:rsidP="00835733">
      <w:pPr>
        <w:pStyle w:val="KeinLeerraum"/>
        <w:rPr>
          <w:color w:val="0070C0"/>
        </w:rPr>
      </w:pPr>
      <w:r w:rsidRPr="007D2B83">
        <w:rPr>
          <w:color w:val="0070C0"/>
        </w:rPr>
        <w:t xml:space="preserve">In den Naturwissenschaften müssen drei Naturwissenschaften belegt werden. </w:t>
      </w:r>
    </w:p>
    <w:p w:rsidR="00F4217D" w:rsidRDefault="00F4217D" w:rsidP="00835733">
      <w:pPr>
        <w:pStyle w:val="KeinLeerraum"/>
        <w:rPr>
          <w:color w:val="7030A0"/>
        </w:rPr>
      </w:pPr>
      <w:r>
        <w:rPr>
          <w:color w:val="7030A0"/>
        </w:rPr>
        <w:t>Sport kann nur als Prüfungsfach wählen, wer im zweiten Schulhalbjahr der Einführungsphase zusätzlich Unterricht mit zwei Wochenstunden in Sporttheorie besucht hat.</w:t>
      </w:r>
    </w:p>
    <w:p w:rsidR="00F4217D" w:rsidRDefault="00F4217D" w:rsidP="00835733">
      <w:pPr>
        <w:pStyle w:val="KeinLeerraum"/>
      </w:pPr>
      <w:r>
        <w:t xml:space="preserve">Aus diesen Ausführungen ergibt sich zwangsläufig, dass auch Nachmittagsunterricht bei einer Schülerpflichtstundenzahl von 30 Unterrichtsstunden  erteilt werden muss. </w:t>
      </w:r>
    </w:p>
    <w:p w:rsidR="00835733" w:rsidRDefault="00835733" w:rsidP="00835733">
      <w:pPr>
        <w:pStyle w:val="KeinLeerraum"/>
      </w:pPr>
      <w:r>
        <w:rPr>
          <w:b/>
        </w:rPr>
        <w:t xml:space="preserve">Umstellung der Benotung: </w:t>
      </w:r>
      <w:r>
        <w:t>Die Beurteilung der Leistungen erfolgt nicht auf der Basis der sechs Noten. Es erfolgt eine Umstellung auf den  Punktebereich von 0 bis 15.</w:t>
      </w:r>
    </w:p>
    <w:p w:rsidR="00835733" w:rsidRDefault="00835733" w:rsidP="00835733">
      <w:pPr>
        <w:pStyle w:val="KeinLeerraum"/>
      </w:pPr>
      <w:r>
        <w:rPr>
          <w:b/>
        </w:rPr>
        <w:t xml:space="preserve">Bewertung von Klausuren: </w:t>
      </w:r>
      <w:r>
        <w:t>In der Einführungsphase und auch in der Qualifikationsphase gilt die 50%-Regelung und nicht wie in der Mittelstufe die 30%Regelung.</w:t>
      </w:r>
    </w:p>
    <w:p w:rsidR="00835733" w:rsidRPr="00835733" w:rsidRDefault="00835733" w:rsidP="00835733">
      <w:pPr>
        <w:pStyle w:val="KeinLeerraum"/>
      </w:pPr>
      <w:r>
        <w:rPr>
          <w:b/>
        </w:rPr>
        <w:t>Nach erfolgreichem Durchlaufen der Einführungsphase erfolgt eine Versetzung in den Jahrgang 12.</w:t>
      </w:r>
      <w:r>
        <w:t xml:space="preserve"> </w:t>
      </w:r>
    </w:p>
    <w:p w:rsidR="00835733" w:rsidRDefault="00835733" w:rsidP="00835733">
      <w:pPr>
        <w:pStyle w:val="KeinLeerraum"/>
      </w:pPr>
    </w:p>
    <w:sectPr w:rsidR="00835733" w:rsidSect="00B319FF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68" w:rsidRDefault="004B3568" w:rsidP="001C5A06">
      <w:pPr>
        <w:spacing w:after="0" w:line="240" w:lineRule="auto"/>
      </w:pPr>
      <w:r>
        <w:separator/>
      </w:r>
    </w:p>
  </w:endnote>
  <w:endnote w:type="continuationSeparator" w:id="0">
    <w:p w:rsidR="004B3568" w:rsidRDefault="004B3568" w:rsidP="001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68" w:rsidRDefault="004B3568" w:rsidP="001C5A06">
      <w:pPr>
        <w:spacing w:after="0" w:line="240" w:lineRule="auto"/>
      </w:pPr>
      <w:r>
        <w:separator/>
      </w:r>
    </w:p>
  </w:footnote>
  <w:footnote w:type="continuationSeparator" w:id="0">
    <w:p w:rsidR="004B3568" w:rsidRDefault="004B3568" w:rsidP="001C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06" w:rsidRPr="001C5A06" w:rsidRDefault="001C5A06">
    <w:pPr>
      <w:pStyle w:val="Kopfzeile"/>
      <w:rPr>
        <w:b/>
        <w:sz w:val="28"/>
        <w:szCs w:val="28"/>
      </w:rPr>
    </w:pPr>
    <w:r w:rsidRPr="001C5A06">
      <w:rPr>
        <w:b/>
        <w:sz w:val="28"/>
        <w:szCs w:val="28"/>
      </w:rPr>
      <w:t>Einführungsphase an der Liebfrauens</w:t>
    </w:r>
    <w:r w:rsidR="00D30777">
      <w:rPr>
        <w:b/>
        <w:sz w:val="28"/>
        <w:szCs w:val="28"/>
      </w:rPr>
      <w:t>chule Cloppenburg Schuljahr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76"/>
    <w:multiLevelType w:val="hybridMultilevel"/>
    <w:tmpl w:val="8C785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637"/>
    <w:multiLevelType w:val="hybridMultilevel"/>
    <w:tmpl w:val="9F8A0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699"/>
    <w:multiLevelType w:val="hybridMultilevel"/>
    <w:tmpl w:val="B832D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04AD"/>
    <w:multiLevelType w:val="hybridMultilevel"/>
    <w:tmpl w:val="5FFE2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0EB"/>
    <w:multiLevelType w:val="hybridMultilevel"/>
    <w:tmpl w:val="01929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2"/>
    <w:rsid w:val="00060B61"/>
    <w:rsid w:val="000A252A"/>
    <w:rsid w:val="001C5A06"/>
    <w:rsid w:val="002A7BE9"/>
    <w:rsid w:val="002B7292"/>
    <w:rsid w:val="00454468"/>
    <w:rsid w:val="004B3568"/>
    <w:rsid w:val="00525A10"/>
    <w:rsid w:val="005A4A50"/>
    <w:rsid w:val="00626856"/>
    <w:rsid w:val="00646A84"/>
    <w:rsid w:val="006766EB"/>
    <w:rsid w:val="007D2B83"/>
    <w:rsid w:val="00835733"/>
    <w:rsid w:val="00933A3A"/>
    <w:rsid w:val="0093563F"/>
    <w:rsid w:val="00A1721C"/>
    <w:rsid w:val="00A32D7F"/>
    <w:rsid w:val="00B319FF"/>
    <w:rsid w:val="00BB50E2"/>
    <w:rsid w:val="00C61B2A"/>
    <w:rsid w:val="00CF2682"/>
    <w:rsid w:val="00D30777"/>
    <w:rsid w:val="00D867A6"/>
    <w:rsid w:val="00E32542"/>
    <w:rsid w:val="00EB66A9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735A-2F34-40E1-94B5-543740F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26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54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A06"/>
  </w:style>
  <w:style w:type="paragraph" w:styleId="Fuzeile">
    <w:name w:val="footer"/>
    <w:basedOn w:val="Standard"/>
    <w:link w:val="FuzeileZchn"/>
    <w:uiPriority w:val="99"/>
    <w:unhideWhenUsed/>
    <w:rsid w:val="001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A06"/>
  </w:style>
  <w:style w:type="paragraph" w:styleId="KeinLeerraum">
    <w:name w:val="No Spacing"/>
    <w:uiPriority w:val="1"/>
    <w:qFormat/>
    <w:rsid w:val="00A3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Hermes</dc:creator>
  <cp:keywords/>
  <dc:description/>
  <cp:lastModifiedBy>Franz-Josef Hermes</cp:lastModifiedBy>
  <cp:revision>2</cp:revision>
  <cp:lastPrinted>2020-01-14T10:06:00Z</cp:lastPrinted>
  <dcterms:created xsi:type="dcterms:W3CDTF">2020-01-14T10:06:00Z</dcterms:created>
  <dcterms:modified xsi:type="dcterms:W3CDTF">2020-01-14T10:06:00Z</dcterms:modified>
</cp:coreProperties>
</file>